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FBE" w:rsidRPr="00913726" w:rsidRDefault="00917FBE" w:rsidP="00913726">
      <w:pPr>
        <w:spacing w:line="276" w:lineRule="auto"/>
        <w:jc w:val="center"/>
        <w:rPr>
          <w:rFonts w:ascii="Verdana" w:hAnsi="Verdana"/>
          <w:b/>
          <w:sz w:val="20"/>
          <w:szCs w:val="20"/>
        </w:rPr>
      </w:pPr>
      <w:r w:rsidRPr="00913726">
        <w:rPr>
          <w:rFonts w:ascii="Verdana" w:hAnsi="Verdana"/>
          <w:b/>
          <w:sz w:val="20"/>
          <w:szCs w:val="20"/>
        </w:rPr>
        <w:t>Remote Hearings</w:t>
      </w:r>
    </w:p>
    <w:p w:rsidR="00917FBE" w:rsidRPr="00913726" w:rsidRDefault="00917FBE" w:rsidP="00913726">
      <w:pPr>
        <w:spacing w:line="276" w:lineRule="auto"/>
        <w:jc w:val="center"/>
        <w:rPr>
          <w:rFonts w:ascii="Verdana" w:hAnsi="Verdana"/>
          <w:b/>
          <w:sz w:val="20"/>
          <w:szCs w:val="20"/>
        </w:rPr>
      </w:pPr>
      <w:r w:rsidRPr="00913726">
        <w:rPr>
          <w:rFonts w:ascii="Verdana" w:hAnsi="Verdana"/>
          <w:b/>
          <w:sz w:val="20"/>
          <w:szCs w:val="20"/>
        </w:rPr>
        <w:t>Child Care Matters</w:t>
      </w:r>
    </w:p>
    <w:p w:rsidR="00913726" w:rsidRPr="00913726" w:rsidRDefault="00913726" w:rsidP="00913726">
      <w:pPr>
        <w:spacing w:line="276" w:lineRule="auto"/>
        <w:jc w:val="center"/>
        <w:rPr>
          <w:rFonts w:ascii="Verdana" w:hAnsi="Verdana"/>
          <w:b/>
          <w:sz w:val="20"/>
          <w:szCs w:val="20"/>
        </w:rPr>
      </w:pPr>
    </w:p>
    <w:p w:rsidR="00913726" w:rsidRPr="00913726" w:rsidRDefault="00917FBE" w:rsidP="00913726">
      <w:pPr>
        <w:pStyle w:val="ListParagraph"/>
        <w:numPr>
          <w:ilvl w:val="0"/>
          <w:numId w:val="2"/>
        </w:numPr>
        <w:spacing w:line="276" w:lineRule="auto"/>
        <w:rPr>
          <w:rFonts w:ascii="Verdana" w:hAnsi="Verdana"/>
          <w:sz w:val="20"/>
          <w:szCs w:val="20"/>
        </w:rPr>
      </w:pPr>
      <w:r w:rsidRPr="00913726">
        <w:rPr>
          <w:rFonts w:ascii="Verdana" w:hAnsi="Verdana"/>
          <w:b/>
          <w:sz w:val="20"/>
          <w:szCs w:val="20"/>
        </w:rPr>
        <w:t xml:space="preserve">Cases suitable for consideration for Remote Hearing </w:t>
      </w:r>
      <w:r w:rsidRPr="00913726">
        <w:rPr>
          <w:rFonts w:ascii="Verdana" w:hAnsi="Verdana"/>
          <w:sz w:val="20"/>
          <w:szCs w:val="20"/>
        </w:rPr>
        <w:br/>
      </w:r>
      <w:r w:rsidRPr="00913726">
        <w:rPr>
          <w:rFonts w:ascii="Verdana" w:hAnsi="Verdana"/>
          <w:sz w:val="20"/>
          <w:szCs w:val="20"/>
        </w:rPr>
        <w:t xml:space="preserve">- Cases where all parties are represented, and </w:t>
      </w:r>
      <w:r w:rsidRPr="00913726">
        <w:rPr>
          <w:rFonts w:ascii="Verdana" w:hAnsi="Verdana"/>
          <w:sz w:val="20"/>
          <w:szCs w:val="20"/>
        </w:rPr>
        <w:br/>
      </w:r>
      <w:r w:rsidRPr="00913726">
        <w:rPr>
          <w:rFonts w:ascii="Verdana" w:hAnsi="Verdana"/>
          <w:sz w:val="20"/>
          <w:szCs w:val="20"/>
        </w:rPr>
        <w:t xml:space="preserve">- Cases where all parties consent to having the matter heard by way of Remote Hearing, and </w:t>
      </w:r>
      <w:r w:rsidRPr="00913726">
        <w:rPr>
          <w:rFonts w:ascii="Verdana" w:hAnsi="Verdana"/>
          <w:sz w:val="20"/>
          <w:szCs w:val="20"/>
        </w:rPr>
        <w:br/>
      </w:r>
      <w:r w:rsidRPr="00913726">
        <w:rPr>
          <w:rFonts w:ascii="Verdana" w:hAnsi="Verdana"/>
          <w:sz w:val="20"/>
          <w:szCs w:val="20"/>
        </w:rPr>
        <w:t xml:space="preserve">- Cases where all parties have access to technology sufficient to allow them to participate as fully as possible in the hearing, and </w:t>
      </w:r>
      <w:r w:rsidRPr="00913726">
        <w:rPr>
          <w:rFonts w:ascii="Verdana" w:hAnsi="Verdana"/>
          <w:sz w:val="20"/>
          <w:szCs w:val="20"/>
        </w:rPr>
        <w:br/>
      </w:r>
      <w:r w:rsidRPr="00913726">
        <w:rPr>
          <w:rFonts w:ascii="Verdana" w:hAnsi="Verdana"/>
          <w:sz w:val="20"/>
          <w:szCs w:val="20"/>
        </w:rPr>
        <w:t xml:space="preserve">- Cases where the respondents participation will be hosted in the company of their solicitors. </w:t>
      </w:r>
      <w:r w:rsidRPr="00913726">
        <w:rPr>
          <w:rFonts w:ascii="Verdana" w:hAnsi="Verdana"/>
          <w:sz w:val="20"/>
          <w:szCs w:val="20"/>
        </w:rPr>
        <w:br/>
      </w:r>
    </w:p>
    <w:p w:rsidR="00913726" w:rsidRPr="00913726" w:rsidRDefault="00917FBE" w:rsidP="00913726">
      <w:pPr>
        <w:pStyle w:val="ListParagraph"/>
        <w:numPr>
          <w:ilvl w:val="0"/>
          <w:numId w:val="2"/>
        </w:numPr>
        <w:spacing w:line="276" w:lineRule="auto"/>
        <w:rPr>
          <w:rFonts w:ascii="Verdana" w:hAnsi="Verdana"/>
          <w:sz w:val="20"/>
          <w:szCs w:val="20"/>
        </w:rPr>
      </w:pPr>
      <w:r w:rsidRPr="00913726">
        <w:rPr>
          <w:rFonts w:ascii="Verdana" w:hAnsi="Verdana"/>
          <w:b/>
          <w:sz w:val="20"/>
          <w:szCs w:val="20"/>
        </w:rPr>
        <w:t>Cases not suitable for consideration for Remote Hearing</w:t>
      </w:r>
      <w:r w:rsidRPr="00913726">
        <w:rPr>
          <w:rFonts w:ascii="Verdana" w:hAnsi="Verdana"/>
          <w:sz w:val="20"/>
          <w:szCs w:val="20"/>
        </w:rPr>
        <w:t xml:space="preserve"> </w:t>
      </w:r>
      <w:r w:rsidRPr="00913726">
        <w:rPr>
          <w:rFonts w:ascii="Verdana" w:hAnsi="Verdana"/>
          <w:sz w:val="20"/>
          <w:szCs w:val="20"/>
        </w:rPr>
        <w:br/>
      </w:r>
      <w:r w:rsidRPr="00913726">
        <w:rPr>
          <w:rFonts w:ascii="Verdana" w:hAnsi="Verdana"/>
          <w:sz w:val="20"/>
          <w:szCs w:val="20"/>
        </w:rPr>
        <w:t xml:space="preserve">- Cases where a party is not represented, or </w:t>
      </w:r>
      <w:r w:rsidRPr="00913726">
        <w:rPr>
          <w:rFonts w:ascii="Verdana" w:hAnsi="Verdana"/>
          <w:sz w:val="20"/>
          <w:szCs w:val="20"/>
        </w:rPr>
        <w:br/>
      </w:r>
      <w:r w:rsidRPr="00913726">
        <w:rPr>
          <w:rFonts w:ascii="Verdana" w:hAnsi="Verdana"/>
          <w:sz w:val="20"/>
          <w:szCs w:val="20"/>
        </w:rPr>
        <w:t xml:space="preserve">- Cases where a party has a physical or intellectual challenge which would render it significantly more challenging for them to engage in the proceedings, or </w:t>
      </w:r>
      <w:r w:rsidRPr="00913726">
        <w:rPr>
          <w:rFonts w:ascii="Verdana" w:hAnsi="Verdana"/>
          <w:sz w:val="20"/>
          <w:szCs w:val="20"/>
        </w:rPr>
        <w:br/>
      </w:r>
      <w:r w:rsidRPr="00913726">
        <w:rPr>
          <w:rFonts w:ascii="Verdana" w:hAnsi="Verdana"/>
          <w:sz w:val="20"/>
          <w:szCs w:val="20"/>
        </w:rPr>
        <w:t xml:space="preserve">- Cases where a party does not have access to adequate technology or broad band to enable them to engage in the hearing as easily as other participants. </w:t>
      </w:r>
    </w:p>
    <w:p w:rsidR="00913726" w:rsidRPr="00913726" w:rsidRDefault="00913726" w:rsidP="00913726">
      <w:pPr>
        <w:pStyle w:val="ListParagraph"/>
        <w:spacing w:line="276" w:lineRule="auto"/>
        <w:rPr>
          <w:rFonts w:ascii="Verdana" w:hAnsi="Verdana"/>
          <w:sz w:val="20"/>
          <w:szCs w:val="20"/>
        </w:rPr>
      </w:pPr>
    </w:p>
    <w:p w:rsidR="00913726" w:rsidRPr="00913726" w:rsidRDefault="00917FBE" w:rsidP="00913726">
      <w:pPr>
        <w:pStyle w:val="ListParagraph"/>
        <w:numPr>
          <w:ilvl w:val="0"/>
          <w:numId w:val="2"/>
        </w:numPr>
        <w:spacing w:line="276" w:lineRule="auto"/>
        <w:rPr>
          <w:rFonts w:ascii="Verdana" w:hAnsi="Verdana"/>
          <w:sz w:val="20"/>
          <w:szCs w:val="20"/>
        </w:rPr>
      </w:pPr>
      <w:r w:rsidRPr="00913726">
        <w:rPr>
          <w:rFonts w:ascii="Verdana" w:hAnsi="Verdana"/>
          <w:b/>
          <w:sz w:val="20"/>
          <w:szCs w:val="20"/>
        </w:rPr>
        <w:t>Cases that may be considered suitable for Remote Hearing include;</w:t>
      </w:r>
      <w:r w:rsidRPr="00913726">
        <w:rPr>
          <w:rFonts w:ascii="Verdana" w:hAnsi="Verdana"/>
          <w:sz w:val="20"/>
          <w:szCs w:val="20"/>
        </w:rPr>
        <w:t xml:space="preserve"> </w:t>
      </w:r>
      <w:r w:rsidRPr="00913726">
        <w:rPr>
          <w:rFonts w:ascii="Verdana" w:hAnsi="Verdana"/>
          <w:sz w:val="20"/>
          <w:szCs w:val="20"/>
        </w:rPr>
        <w:br/>
      </w:r>
      <w:r w:rsidRPr="00913726">
        <w:rPr>
          <w:rFonts w:ascii="Verdana" w:hAnsi="Verdana"/>
          <w:sz w:val="20"/>
          <w:szCs w:val="20"/>
        </w:rPr>
        <w:t xml:space="preserve">- Cases where there are no identified Respondents (e.g. cases involving unaccompanied minors). </w:t>
      </w:r>
      <w:bookmarkStart w:id="0" w:name="_GoBack"/>
      <w:bookmarkEnd w:id="0"/>
      <w:r w:rsidRPr="00913726">
        <w:rPr>
          <w:rFonts w:ascii="Verdana" w:hAnsi="Verdana"/>
          <w:sz w:val="20"/>
          <w:szCs w:val="20"/>
        </w:rPr>
        <w:br/>
      </w:r>
      <w:r w:rsidRPr="00913726">
        <w:rPr>
          <w:rFonts w:ascii="Verdana" w:hAnsi="Verdana"/>
          <w:sz w:val="20"/>
          <w:szCs w:val="20"/>
        </w:rPr>
        <w:t xml:space="preserve">- Ex </w:t>
      </w:r>
      <w:proofErr w:type="spellStart"/>
      <w:r w:rsidRPr="00913726">
        <w:rPr>
          <w:rFonts w:ascii="Verdana" w:hAnsi="Verdana"/>
          <w:sz w:val="20"/>
          <w:szCs w:val="20"/>
        </w:rPr>
        <w:t>Parte</w:t>
      </w:r>
      <w:proofErr w:type="spellEnd"/>
      <w:r w:rsidRPr="00913726">
        <w:rPr>
          <w:rFonts w:ascii="Verdana" w:hAnsi="Verdana"/>
          <w:sz w:val="20"/>
          <w:szCs w:val="20"/>
        </w:rPr>
        <w:t xml:space="preserve"> applications . </w:t>
      </w:r>
      <w:r w:rsidRPr="00913726">
        <w:rPr>
          <w:rFonts w:ascii="Verdana" w:hAnsi="Verdana"/>
          <w:sz w:val="20"/>
          <w:szCs w:val="20"/>
        </w:rPr>
        <w:br/>
      </w:r>
      <w:r w:rsidRPr="00913726">
        <w:rPr>
          <w:rFonts w:ascii="Verdana" w:hAnsi="Verdana"/>
          <w:sz w:val="20"/>
          <w:szCs w:val="20"/>
        </w:rPr>
        <w:t xml:space="preserve">- Cases of an interlocutory nature (e.g. S.47 Applications for Welfare Directions, certain S.37 Applications to Regulate Access). </w:t>
      </w:r>
      <w:r w:rsidRPr="00913726">
        <w:rPr>
          <w:rFonts w:ascii="Verdana" w:hAnsi="Verdana"/>
          <w:sz w:val="20"/>
          <w:szCs w:val="20"/>
        </w:rPr>
        <w:br/>
      </w:r>
      <w:r w:rsidRPr="00913726">
        <w:rPr>
          <w:rFonts w:ascii="Verdana" w:hAnsi="Verdana"/>
          <w:sz w:val="20"/>
          <w:szCs w:val="20"/>
        </w:rPr>
        <w:t xml:space="preserve">- Reviews and After Care Reviews where the only evidence to be adduced is the evidence of the Allocated Social Worker/After Care Worker and Guardian ad Litem. </w:t>
      </w:r>
      <w:r w:rsidRPr="00913726">
        <w:rPr>
          <w:rFonts w:ascii="Verdana" w:hAnsi="Verdana"/>
          <w:sz w:val="20"/>
          <w:szCs w:val="20"/>
        </w:rPr>
        <w:br/>
      </w:r>
      <w:r w:rsidRPr="00913726">
        <w:rPr>
          <w:rFonts w:ascii="Verdana" w:hAnsi="Verdana"/>
          <w:sz w:val="20"/>
          <w:szCs w:val="20"/>
        </w:rPr>
        <w:t xml:space="preserve">- Case Management Hearings. </w:t>
      </w:r>
      <w:r w:rsidRPr="00913726">
        <w:rPr>
          <w:rFonts w:ascii="Verdana" w:hAnsi="Verdana"/>
          <w:sz w:val="20"/>
          <w:szCs w:val="20"/>
        </w:rPr>
        <w:br/>
      </w:r>
      <w:r w:rsidRPr="00913726">
        <w:rPr>
          <w:rFonts w:ascii="Verdana" w:hAnsi="Verdana"/>
          <w:sz w:val="20"/>
          <w:szCs w:val="20"/>
        </w:rPr>
        <w:t xml:space="preserve">- Call overs. </w:t>
      </w:r>
      <w:r w:rsidRPr="00913726">
        <w:rPr>
          <w:rFonts w:ascii="Verdana" w:hAnsi="Verdana"/>
          <w:sz w:val="20"/>
          <w:szCs w:val="20"/>
        </w:rPr>
        <w:br/>
      </w:r>
      <w:r w:rsidRPr="00913726">
        <w:rPr>
          <w:rFonts w:ascii="Verdana" w:hAnsi="Verdana"/>
          <w:sz w:val="20"/>
          <w:szCs w:val="20"/>
        </w:rPr>
        <w:t xml:space="preserve">This is not an exhaustive list and may be reviewed from time to time. </w:t>
      </w:r>
    </w:p>
    <w:p w:rsidR="00913726" w:rsidRPr="00913726" w:rsidRDefault="00913726" w:rsidP="00913726">
      <w:pPr>
        <w:pStyle w:val="ListParagraph"/>
        <w:spacing w:line="276" w:lineRule="auto"/>
        <w:rPr>
          <w:rFonts w:ascii="Verdana" w:hAnsi="Verdana"/>
          <w:b/>
          <w:sz w:val="20"/>
          <w:szCs w:val="20"/>
        </w:rPr>
      </w:pPr>
    </w:p>
    <w:p w:rsidR="00913726" w:rsidRPr="00913726" w:rsidRDefault="00917FBE" w:rsidP="00913726">
      <w:pPr>
        <w:pStyle w:val="ListParagraph"/>
        <w:numPr>
          <w:ilvl w:val="0"/>
          <w:numId w:val="2"/>
        </w:numPr>
        <w:spacing w:line="276" w:lineRule="auto"/>
        <w:rPr>
          <w:rFonts w:ascii="Verdana" w:hAnsi="Verdana"/>
          <w:sz w:val="20"/>
          <w:szCs w:val="20"/>
        </w:rPr>
      </w:pPr>
      <w:r w:rsidRPr="00913726">
        <w:rPr>
          <w:rFonts w:ascii="Verdana" w:hAnsi="Verdana"/>
          <w:b/>
          <w:sz w:val="20"/>
          <w:szCs w:val="20"/>
        </w:rPr>
        <w:t>Procedures preliminary to engaging in a Remote Hearing</w:t>
      </w:r>
      <w:r w:rsidRPr="00913726">
        <w:rPr>
          <w:rFonts w:ascii="Verdana" w:hAnsi="Verdana"/>
          <w:sz w:val="20"/>
          <w:szCs w:val="20"/>
        </w:rPr>
        <w:t xml:space="preserve"> </w:t>
      </w:r>
      <w:r w:rsidRPr="00913726">
        <w:rPr>
          <w:rFonts w:ascii="Verdana" w:hAnsi="Verdana"/>
          <w:sz w:val="20"/>
          <w:szCs w:val="20"/>
        </w:rPr>
        <w:br/>
      </w:r>
      <w:r w:rsidRPr="00913726">
        <w:rPr>
          <w:rFonts w:ascii="Verdana" w:hAnsi="Verdana"/>
          <w:sz w:val="20"/>
          <w:szCs w:val="20"/>
        </w:rPr>
        <w:t xml:space="preserve">- Each party’s solicitor will have to complete and return the Confirmation Form (see Appendix 1) 1 day before the hearing where possible. </w:t>
      </w:r>
      <w:r w:rsidRPr="00913726">
        <w:rPr>
          <w:rFonts w:ascii="Verdana" w:hAnsi="Verdana"/>
          <w:sz w:val="20"/>
          <w:szCs w:val="20"/>
        </w:rPr>
        <w:br/>
      </w:r>
      <w:r w:rsidRPr="00913726">
        <w:rPr>
          <w:rFonts w:ascii="Verdana" w:hAnsi="Verdana"/>
          <w:sz w:val="20"/>
          <w:szCs w:val="20"/>
        </w:rPr>
        <w:t xml:space="preserve">- Applications and supporting Affidavits must be filed according to the District Court Rules in the relevant Court Office. Such Applications and Affidavits must also be filed electronically with the relevant District Court Office as early as possible in advance of the Remote Hearing. </w:t>
      </w:r>
      <w:r w:rsidRPr="00913726">
        <w:rPr>
          <w:rFonts w:ascii="Verdana" w:hAnsi="Verdana"/>
          <w:sz w:val="20"/>
          <w:szCs w:val="20"/>
        </w:rPr>
        <w:br/>
      </w:r>
      <w:r w:rsidRPr="00913726">
        <w:rPr>
          <w:rFonts w:ascii="Verdana" w:hAnsi="Verdana"/>
          <w:sz w:val="20"/>
          <w:szCs w:val="20"/>
        </w:rPr>
        <w:t xml:space="preserve">-Guardian ad Litem Reports must be served in the usual manner and be filed electronically with the relevant District Court Office as early as possible in advance of the Remote Hearing. </w:t>
      </w:r>
      <w:r w:rsidRPr="00913726">
        <w:rPr>
          <w:rFonts w:ascii="Verdana" w:hAnsi="Verdana"/>
          <w:sz w:val="20"/>
          <w:szCs w:val="20"/>
        </w:rPr>
        <w:br/>
      </w:r>
      <w:r w:rsidRPr="00913726">
        <w:rPr>
          <w:rFonts w:ascii="Verdana" w:hAnsi="Verdana"/>
          <w:sz w:val="20"/>
          <w:szCs w:val="20"/>
        </w:rPr>
        <w:t xml:space="preserve">- Replying Statements of Respondents must be served and filed electronically with the relevant District Court Office as early as possible in advance of the Remote Hearing. </w:t>
      </w:r>
    </w:p>
    <w:p w:rsidR="00913726" w:rsidRPr="00913726" w:rsidRDefault="00913726" w:rsidP="00913726">
      <w:pPr>
        <w:pStyle w:val="ListParagraph"/>
        <w:spacing w:line="276" w:lineRule="auto"/>
        <w:rPr>
          <w:rFonts w:ascii="Verdana" w:hAnsi="Verdana"/>
          <w:b/>
          <w:sz w:val="20"/>
          <w:szCs w:val="20"/>
        </w:rPr>
      </w:pPr>
    </w:p>
    <w:p w:rsidR="00A85A62" w:rsidRPr="00913726" w:rsidRDefault="00917FBE" w:rsidP="00913726">
      <w:pPr>
        <w:pStyle w:val="ListParagraph"/>
        <w:numPr>
          <w:ilvl w:val="0"/>
          <w:numId w:val="2"/>
        </w:numPr>
        <w:spacing w:line="276" w:lineRule="auto"/>
        <w:rPr>
          <w:rFonts w:ascii="Verdana" w:hAnsi="Verdana"/>
          <w:sz w:val="20"/>
          <w:szCs w:val="20"/>
        </w:rPr>
      </w:pPr>
      <w:r w:rsidRPr="00913726">
        <w:rPr>
          <w:rFonts w:ascii="Verdana" w:hAnsi="Verdana"/>
          <w:b/>
          <w:sz w:val="20"/>
          <w:szCs w:val="20"/>
        </w:rPr>
        <w:t>Procedures for the Remote Hearing</w:t>
      </w:r>
      <w:r w:rsidRPr="00913726">
        <w:rPr>
          <w:rFonts w:ascii="Verdana" w:hAnsi="Verdana"/>
          <w:sz w:val="20"/>
          <w:szCs w:val="20"/>
        </w:rPr>
        <w:t xml:space="preserve"> </w:t>
      </w:r>
      <w:r w:rsidRPr="00913726">
        <w:rPr>
          <w:rFonts w:ascii="Verdana" w:hAnsi="Verdana"/>
          <w:sz w:val="20"/>
          <w:szCs w:val="20"/>
        </w:rPr>
        <w:br/>
      </w:r>
      <w:r w:rsidRPr="00913726">
        <w:rPr>
          <w:rFonts w:ascii="Verdana" w:hAnsi="Verdana"/>
          <w:sz w:val="20"/>
          <w:szCs w:val="20"/>
        </w:rPr>
        <w:t xml:space="preserve">- Each party’s solicitor will be provided in advance with an access code and directions on how to access the remote hearing court room and each case will be allocated a time slot for hearing. Parties must be ready to proceed at the allocated time. </w:t>
      </w:r>
      <w:r w:rsidRPr="00913726">
        <w:rPr>
          <w:rFonts w:ascii="Verdana" w:hAnsi="Verdana"/>
          <w:sz w:val="20"/>
          <w:szCs w:val="20"/>
        </w:rPr>
        <w:br/>
      </w:r>
      <w:r w:rsidRPr="00913726">
        <w:rPr>
          <w:rFonts w:ascii="Verdana" w:hAnsi="Verdana"/>
          <w:sz w:val="20"/>
          <w:szCs w:val="20"/>
        </w:rPr>
        <w:lastRenderedPageBreak/>
        <w:t xml:space="preserve">- Each legal team must be present with their clients during the hearing and both lawyer and client must be able to engage with each other and the proceedings. Where the client is a professional they do not need to be present with their lawyer for the hearing, but they do need to be able to engage with their lawyer during the proceedings. </w:t>
      </w:r>
      <w:r w:rsidRPr="00913726">
        <w:rPr>
          <w:rFonts w:ascii="Verdana" w:hAnsi="Verdana"/>
          <w:sz w:val="20"/>
          <w:szCs w:val="20"/>
        </w:rPr>
        <w:br/>
      </w:r>
      <w:r w:rsidRPr="00913726">
        <w:rPr>
          <w:rFonts w:ascii="Verdana" w:hAnsi="Verdana"/>
          <w:sz w:val="20"/>
          <w:szCs w:val="20"/>
        </w:rPr>
        <w:t xml:space="preserve">- The remote hearing is a court sitting and should be treated as such; all the usual rules of procedure and etiquette apply and should be observed. Parties should be ready for court and any witness who intended to give evidence on oath should be given a Bible in advance. </w:t>
      </w:r>
      <w:r w:rsidRPr="00913726">
        <w:rPr>
          <w:rFonts w:ascii="Verdana" w:hAnsi="Verdana"/>
          <w:sz w:val="20"/>
          <w:szCs w:val="20"/>
        </w:rPr>
        <w:br/>
      </w:r>
      <w:r w:rsidRPr="00913726">
        <w:rPr>
          <w:rFonts w:ascii="Verdana" w:hAnsi="Verdana"/>
          <w:sz w:val="20"/>
          <w:szCs w:val="20"/>
        </w:rPr>
        <w:t>- The proceedings must not be recorded electronically and the In Camera rule must be observed at all times.</w:t>
      </w:r>
    </w:p>
    <w:sectPr w:rsidR="00A85A62" w:rsidRPr="00913726" w:rsidSect="00913726">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6F82"/>
    <w:multiLevelType w:val="hybridMultilevel"/>
    <w:tmpl w:val="20E0B0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13C29FB"/>
    <w:multiLevelType w:val="hybridMultilevel"/>
    <w:tmpl w:val="0CBABFAA"/>
    <w:lvl w:ilvl="0" w:tplc="C88080A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B9"/>
    <w:rsid w:val="00181EA5"/>
    <w:rsid w:val="00402CB4"/>
    <w:rsid w:val="00645D5C"/>
    <w:rsid w:val="006A62B9"/>
    <w:rsid w:val="006E25D4"/>
    <w:rsid w:val="00913726"/>
    <w:rsid w:val="00917FBE"/>
    <w:rsid w:val="00B428C6"/>
    <w:rsid w:val="00C85F55"/>
    <w:rsid w:val="00E842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5066"/>
  <w15:chartTrackingRefBased/>
  <w15:docId w15:val="{BE6AA6A4-D135-4B17-94BA-B2B10D52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6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B9"/>
    <w:rPr>
      <w:rFonts w:ascii="Segoe UI" w:hAnsi="Segoe UI" w:cs="Segoe UI"/>
      <w:sz w:val="18"/>
      <w:szCs w:val="18"/>
    </w:rPr>
  </w:style>
  <w:style w:type="paragraph" w:styleId="ListParagraph">
    <w:name w:val="List Paragraph"/>
    <w:basedOn w:val="Normal"/>
    <w:uiPriority w:val="34"/>
    <w:qFormat/>
    <w:rsid w:val="00913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Houlihan</dc:creator>
  <cp:keywords/>
  <dc:description/>
  <cp:lastModifiedBy>Brendan Houlihan</cp:lastModifiedBy>
  <cp:revision>3</cp:revision>
  <dcterms:created xsi:type="dcterms:W3CDTF">2021-01-26T10:21:00Z</dcterms:created>
  <dcterms:modified xsi:type="dcterms:W3CDTF">2021-01-26T10:34:00Z</dcterms:modified>
</cp:coreProperties>
</file>